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98" w:rsidRDefault="002B592A" w:rsidP="00B04102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hAnsi="Arial" w:cs="Arial"/>
          <w:sz w:val="18"/>
          <w:szCs w:val="18"/>
        </w:rPr>
      </w:pPr>
      <w:r w:rsidRPr="00B04102">
        <w:rPr>
          <w:rFonts w:ascii="Arial" w:eastAsia="Times New Roman" w:hAnsi="Arial" w:cs="Arial"/>
          <w:b/>
          <w:bCs/>
          <w:color w:val="000000"/>
          <w:spacing w:val="-15"/>
          <w:kern w:val="36"/>
          <w:sz w:val="36"/>
          <w:szCs w:val="36"/>
          <w:lang w:val="en-US" w:eastAsia="en-AU"/>
        </w:rPr>
        <w:t>Healthy Schools, Healthy Futures (HSHF)</w:t>
      </w:r>
    </w:p>
    <w:p w:rsidR="002B592A" w:rsidRPr="00FE661D" w:rsidRDefault="002B592A" w:rsidP="00B04102">
      <w:pPr>
        <w:pStyle w:val="Default"/>
        <w:jc w:val="both"/>
        <w:rPr>
          <w:rFonts w:cs="Arial"/>
          <w:color w:val="auto"/>
          <w:sz w:val="22"/>
          <w:szCs w:val="22"/>
        </w:rPr>
      </w:pPr>
      <w:r w:rsidRPr="00FE661D">
        <w:rPr>
          <w:rFonts w:ascii="Arial" w:hAnsi="Arial" w:cs="Arial"/>
          <w:color w:val="auto"/>
          <w:sz w:val="22"/>
          <w:szCs w:val="22"/>
        </w:rPr>
        <w:t xml:space="preserve">The Healthy Schools, Healthy Futures (HSHF) program is a </w:t>
      </w:r>
      <w:r w:rsidR="00364AE8" w:rsidRPr="00FE661D">
        <w:rPr>
          <w:rFonts w:ascii="Arial" w:hAnsi="Arial" w:cs="Arial"/>
          <w:color w:val="auto"/>
          <w:sz w:val="22"/>
          <w:szCs w:val="22"/>
        </w:rPr>
        <w:t xml:space="preserve">three year health promotion project run by Hunter New England Population Health and the University of Newcastle, and supported by the funding partners, NIB Foundation and NHMRC. </w:t>
      </w:r>
    </w:p>
    <w:p w:rsidR="00364AE8" w:rsidRPr="00FE661D" w:rsidRDefault="00B04102" w:rsidP="00B04102">
      <w:pPr>
        <w:pStyle w:val="BodyCopy"/>
        <w:spacing w:line="240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 w:rsidR="002B592A" w:rsidRPr="00FE661D">
        <w:rPr>
          <w:rFonts w:cs="Arial"/>
          <w:color w:val="auto"/>
          <w:sz w:val="22"/>
          <w:szCs w:val="22"/>
        </w:rPr>
        <w:t>21 schools in NSW DEC and Catholic Schools Office high schools across the Hunter, New England and lower Mid-North Coast reg</w:t>
      </w:r>
      <w:r w:rsidR="00364AE8" w:rsidRPr="00FE661D">
        <w:rPr>
          <w:rFonts w:cs="Arial"/>
          <w:color w:val="auto"/>
          <w:sz w:val="22"/>
          <w:szCs w:val="22"/>
        </w:rPr>
        <w:t>ions are participating in this 3</w:t>
      </w:r>
      <w:r w:rsidR="002B592A" w:rsidRPr="00FE661D">
        <w:rPr>
          <w:rFonts w:cs="Arial"/>
          <w:color w:val="auto"/>
          <w:sz w:val="22"/>
          <w:szCs w:val="22"/>
        </w:rPr>
        <w:t xml:space="preserve"> year research program with over 10,000 students taking part. </w:t>
      </w:r>
      <w:r w:rsidR="00A632EB">
        <w:rPr>
          <w:rFonts w:cs="Arial"/>
          <w:color w:val="auto"/>
          <w:sz w:val="22"/>
          <w:szCs w:val="22"/>
        </w:rPr>
        <w:t xml:space="preserve">Rutherford Technology </w:t>
      </w:r>
      <w:r w:rsidR="00F47123" w:rsidRPr="00FE661D">
        <w:rPr>
          <w:rFonts w:cs="Arial"/>
          <w:color w:val="auto"/>
          <w:sz w:val="22"/>
          <w:szCs w:val="22"/>
        </w:rPr>
        <w:t>High School is part of this program.</w:t>
      </w:r>
    </w:p>
    <w:p w:rsidR="00FE661D" w:rsidRPr="004E3D98" w:rsidRDefault="00B04102" w:rsidP="00B04102">
      <w:pPr>
        <w:pStyle w:val="BodyCopy"/>
        <w:spacing w:line="240" w:lineRule="auto"/>
        <w:jc w:val="both"/>
        <w:rPr>
          <w:rFonts w:cs="Arial"/>
          <w:color w:val="C0504D" w:themeColor="accent2"/>
          <w:sz w:val="18"/>
          <w:szCs w:val="18"/>
        </w:rPr>
      </w:pPr>
      <w:r>
        <w:rPr>
          <w:rFonts w:cs="Arial"/>
          <w:color w:val="auto"/>
          <w:sz w:val="22"/>
          <w:szCs w:val="22"/>
        </w:rPr>
        <w:tab/>
      </w:r>
      <w:r w:rsidR="00364AE8" w:rsidRPr="00FE661D">
        <w:rPr>
          <w:rFonts w:cs="Arial"/>
          <w:color w:val="auto"/>
          <w:sz w:val="22"/>
          <w:szCs w:val="22"/>
        </w:rPr>
        <w:t xml:space="preserve">The aim of HSHF is to develop capacity within schools to deliver a resilience program for students which will support students to make healthier decisions when it comes to tobacco, alcohol and other drug use. HSHF is led by </w:t>
      </w:r>
      <w:r w:rsidR="00A632EB">
        <w:rPr>
          <w:rFonts w:cs="Arial"/>
          <w:color w:val="auto"/>
          <w:sz w:val="22"/>
          <w:szCs w:val="22"/>
        </w:rPr>
        <w:t xml:space="preserve">Louise </w:t>
      </w:r>
      <w:proofErr w:type="spellStart"/>
      <w:r w:rsidR="00A632EB">
        <w:rPr>
          <w:rFonts w:cs="Arial"/>
          <w:color w:val="auto"/>
          <w:sz w:val="22"/>
          <w:szCs w:val="22"/>
        </w:rPr>
        <w:t>Smailes</w:t>
      </w:r>
      <w:proofErr w:type="spellEnd"/>
      <w:r w:rsidR="00364AE8" w:rsidRPr="00FE661D">
        <w:rPr>
          <w:rFonts w:cs="Arial"/>
          <w:color w:val="auto"/>
          <w:sz w:val="22"/>
          <w:szCs w:val="22"/>
        </w:rPr>
        <w:t xml:space="preserve"> who is the liaison point between the school and the research team. A HSHF School Project Officer</w:t>
      </w:r>
      <w:r w:rsidR="00D42563">
        <w:rPr>
          <w:rFonts w:cs="Arial"/>
          <w:color w:val="auto"/>
          <w:sz w:val="22"/>
          <w:szCs w:val="22"/>
        </w:rPr>
        <w:t>- Melanie Asmar-</w:t>
      </w:r>
      <w:r w:rsidR="00364AE8" w:rsidRPr="00FE661D">
        <w:rPr>
          <w:rFonts w:cs="Arial"/>
          <w:color w:val="auto"/>
          <w:sz w:val="22"/>
          <w:szCs w:val="22"/>
        </w:rPr>
        <w:t xml:space="preserve"> is allocated to </w:t>
      </w:r>
      <w:r w:rsidR="00A632EB">
        <w:rPr>
          <w:rFonts w:cs="Arial"/>
          <w:color w:val="auto"/>
          <w:sz w:val="22"/>
          <w:szCs w:val="22"/>
        </w:rPr>
        <w:t>the</w:t>
      </w:r>
      <w:r w:rsidR="00364AE8" w:rsidRPr="00FE661D">
        <w:rPr>
          <w:rFonts w:cs="Arial"/>
          <w:color w:val="auto"/>
          <w:sz w:val="22"/>
          <w:szCs w:val="22"/>
        </w:rPr>
        <w:t xml:space="preserve"> school for one day per week to assist in the planning, design and implementation of actions associated with building student resilience and enhancing staff wellbeing</w:t>
      </w:r>
      <w:r w:rsidR="00364AE8" w:rsidRPr="00B12A05">
        <w:rPr>
          <w:rFonts w:cs="Arial"/>
          <w:color w:val="00B050"/>
          <w:sz w:val="22"/>
          <w:szCs w:val="22"/>
        </w:rPr>
        <w:t xml:space="preserve">. </w:t>
      </w:r>
    </w:p>
    <w:p w:rsidR="004E3D98" w:rsidRPr="004E3D98" w:rsidRDefault="004E3D98" w:rsidP="00B04102">
      <w:pPr>
        <w:pStyle w:val="BodyCopy"/>
        <w:spacing w:line="240" w:lineRule="auto"/>
        <w:jc w:val="both"/>
        <w:rPr>
          <w:rFonts w:cs="Arial"/>
          <w:color w:val="auto"/>
          <w:sz w:val="18"/>
          <w:szCs w:val="18"/>
        </w:rPr>
      </w:pPr>
    </w:p>
    <w:p w:rsidR="00825491" w:rsidRDefault="004E3D98" w:rsidP="00530EE7">
      <w:pPr>
        <w:spacing w:after="0" w:line="240" w:lineRule="auto"/>
        <w:jc w:val="center"/>
        <w:rPr>
          <w:rFonts w:cs="Arial"/>
        </w:rPr>
      </w:pPr>
      <w:r w:rsidRPr="00825491">
        <w:rPr>
          <w:rFonts w:ascii="Arial" w:hAnsi="Arial" w:cs="Arial"/>
          <w:noProof/>
          <w:color w:val="C00000"/>
          <w:sz w:val="32"/>
          <w:szCs w:val="32"/>
          <w14:textOutline w14:w="10541" w14:cap="flat" w14:cmpd="sng" w14:algn="ctr">
            <w14:solidFill>
              <w14:srgbClr w14:val="C00000"/>
            </w14:solidFill>
            <w14:prstDash w14:val="solid"/>
            <w14:round/>
          </w14:textOutline>
        </w:rPr>
        <w:t>HSHF is a whole school approach to building resilience</w:t>
      </w:r>
    </w:p>
    <w:p w:rsidR="004E3D98" w:rsidRPr="00FE661D" w:rsidRDefault="004E3D98" w:rsidP="00B04102">
      <w:pPr>
        <w:pStyle w:val="BodyCopy"/>
        <w:spacing w:line="240" w:lineRule="auto"/>
        <w:jc w:val="both"/>
        <w:rPr>
          <w:rFonts w:cs="Arial"/>
          <w:color w:val="auto"/>
          <w:sz w:val="22"/>
          <w:szCs w:val="22"/>
        </w:rPr>
      </w:pPr>
      <w:r w:rsidRPr="00FE661D">
        <w:rPr>
          <w:rFonts w:cs="Arial"/>
          <w:color w:val="auto"/>
          <w:sz w:val="22"/>
          <w:szCs w:val="22"/>
        </w:rPr>
        <w:t xml:space="preserve">The HSHF Program Model involves schools implementing strategies to address student resilience within each of the three Health Promoting Schools domains (World Health </w:t>
      </w:r>
      <w:proofErr w:type="spellStart"/>
      <w:r w:rsidRPr="00FE661D">
        <w:rPr>
          <w:rFonts w:cs="Arial"/>
          <w:color w:val="auto"/>
          <w:sz w:val="22"/>
          <w:szCs w:val="22"/>
        </w:rPr>
        <w:t>Organisation</w:t>
      </w:r>
      <w:proofErr w:type="spellEnd"/>
      <w:r w:rsidRPr="00FE661D">
        <w:rPr>
          <w:rFonts w:cs="Arial"/>
          <w:color w:val="auto"/>
          <w:sz w:val="22"/>
          <w:szCs w:val="22"/>
        </w:rPr>
        <w:t xml:space="preserve">): </w:t>
      </w:r>
    </w:p>
    <w:p w:rsidR="00FE661D" w:rsidRPr="00FE661D" w:rsidRDefault="00FE661D" w:rsidP="00B04102">
      <w:pPr>
        <w:pStyle w:val="BodyCopy"/>
        <w:spacing w:line="240" w:lineRule="auto"/>
        <w:jc w:val="both"/>
        <w:rPr>
          <w:rFonts w:cs="Arial"/>
          <w:color w:val="auto"/>
          <w:sz w:val="22"/>
          <w:szCs w:val="22"/>
        </w:rPr>
      </w:pPr>
    </w:p>
    <w:p w:rsidR="004E3D98" w:rsidRPr="00FE661D" w:rsidRDefault="004E3D98" w:rsidP="00B04102">
      <w:pPr>
        <w:pStyle w:val="BodyCopy"/>
        <w:spacing w:line="240" w:lineRule="auto"/>
        <w:ind w:left="720"/>
        <w:jc w:val="both"/>
        <w:rPr>
          <w:rFonts w:cs="Arial"/>
          <w:b/>
          <w:color w:val="auto"/>
          <w:sz w:val="22"/>
          <w:szCs w:val="22"/>
        </w:rPr>
      </w:pPr>
      <w:r w:rsidRPr="00FE661D">
        <w:rPr>
          <w:rFonts w:cs="Arial"/>
          <w:b/>
          <w:color w:val="auto"/>
          <w:sz w:val="22"/>
          <w:szCs w:val="22"/>
        </w:rPr>
        <w:sym w:font="Wingdings" w:char="F0E0"/>
      </w:r>
      <w:r w:rsidRPr="00FE661D">
        <w:rPr>
          <w:rFonts w:cs="Arial"/>
          <w:b/>
          <w:color w:val="auto"/>
          <w:sz w:val="22"/>
          <w:szCs w:val="22"/>
        </w:rPr>
        <w:t xml:space="preserve"> Curriculum, teaching and learning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1. School has resilience lessons embedded within curriculum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cs="Arial"/>
          <w:b/>
        </w:rPr>
      </w:pPr>
      <w:r w:rsidRPr="00FE661D">
        <w:rPr>
          <w:rFonts w:ascii="Arial" w:hAnsi="Arial" w:cs="Arial"/>
        </w:rPr>
        <w:t>2. School implements resilience programs</w:t>
      </w:r>
    </w:p>
    <w:p w:rsidR="004E3D98" w:rsidRPr="00FE661D" w:rsidRDefault="004E3D98" w:rsidP="00B04102">
      <w:pPr>
        <w:pStyle w:val="BodyCopy"/>
        <w:spacing w:line="240" w:lineRule="auto"/>
        <w:ind w:left="720"/>
        <w:jc w:val="both"/>
        <w:rPr>
          <w:rFonts w:cs="Arial"/>
          <w:b/>
          <w:color w:val="auto"/>
          <w:sz w:val="22"/>
          <w:szCs w:val="22"/>
        </w:rPr>
      </w:pPr>
      <w:r w:rsidRPr="00FE661D">
        <w:rPr>
          <w:rFonts w:cs="Arial"/>
          <w:b/>
          <w:color w:val="auto"/>
          <w:sz w:val="22"/>
          <w:szCs w:val="22"/>
        </w:rPr>
        <w:sym w:font="Wingdings" w:char="F0E0"/>
      </w:r>
      <w:r w:rsidRPr="00FE661D">
        <w:rPr>
          <w:rFonts w:cs="Arial"/>
          <w:b/>
          <w:color w:val="auto"/>
          <w:sz w:val="22"/>
          <w:szCs w:val="22"/>
        </w:rPr>
        <w:t xml:space="preserve"> Ethos and environment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3. School actively implements policies that impact on student resilience enhancement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4. School implements strategies to ensure the school environment is supportive for all students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cs="Arial"/>
          <w:b/>
        </w:rPr>
      </w:pPr>
      <w:r w:rsidRPr="00FE661D">
        <w:rPr>
          <w:rFonts w:ascii="Arial" w:hAnsi="Arial" w:cs="Arial"/>
        </w:rPr>
        <w:t>5. Effective pedagogy is used within learning environments to enhance student resilience</w:t>
      </w:r>
    </w:p>
    <w:p w:rsidR="004E3D98" w:rsidRPr="00FE661D" w:rsidRDefault="004E3D98" w:rsidP="00B04102">
      <w:pPr>
        <w:pStyle w:val="BodyCopy"/>
        <w:spacing w:line="240" w:lineRule="auto"/>
        <w:ind w:left="720"/>
        <w:jc w:val="both"/>
        <w:rPr>
          <w:rFonts w:cs="Arial"/>
          <w:b/>
          <w:color w:val="auto"/>
          <w:sz w:val="22"/>
          <w:szCs w:val="22"/>
        </w:rPr>
      </w:pPr>
      <w:r w:rsidRPr="00FE661D">
        <w:rPr>
          <w:rFonts w:cs="Arial"/>
          <w:b/>
          <w:color w:val="auto"/>
          <w:sz w:val="22"/>
          <w:szCs w:val="22"/>
        </w:rPr>
        <w:sym w:font="Wingdings" w:char="F0E0"/>
      </w:r>
      <w:r w:rsidRPr="00FE661D">
        <w:rPr>
          <w:rFonts w:cs="Arial"/>
          <w:b/>
          <w:color w:val="auto"/>
          <w:sz w:val="22"/>
          <w:szCs w:val="22"/>
        </w:rPr>
        <w:t xml:space="preserve"> Partnerships and services 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6. Local community organisations/groups/sporting clubs students are promoted and engaged in the school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7. Health and community services are promoted and engaged in the school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 w:rsidRPr="00FE661D">
        <w:rPr>
          <w:rFonts w:ascii="Arial" w:hAnsi="Arial" w:cs="Arial"/>
        </w:rPr>
        <w:t>8. School implements strategies to increase parental involvement in the school</w:t>
      </w:r>
    </w:p>
    <w:p w:rsidR="004E3D98" w:rsidRPr="00FE661D" w:rsidRDefault="004E3D98" w:rsidP="00B0410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8863D0" w:rsidRPr="00FE661D" w:rsidRDefault="00825491" w:rsidP="00B04102">
      <w:pPr>
        <w:pStyle w:val="BodyCopy"/>
        <w:spacing w:line="240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All of the above strategies are currently being </w:t>
      </w:r>
      <w:proofErr w:type="gramStart"/>
      <w:r>
        <w:rPr>
          <w:rFonts w:cs="Arial"/>
          <w:color w:val="auto"/>
          <w:sz w:val="22"/>
          <w:szCs w:val="22"/>
        </w:rPr>
        <w:t>implemented/introduced</w:t>
      </w:r>
      <w:proofErr w:type="gramEnd"/>
      <w:r>
        <w:rPr>
          <w:rFonts w:cs="Arial"/>
          <w:color w:val="auto"/>
          <w:sz w:val="22"/>
          <w:szCs w:val="22"/>
        </w:rPr>
        <w:t xml:space="preserve"> at </w:t>
      </w:r>
      <w:r w:rsidR="00530EE7">
        <w:rPr>
          <w:rFonts w:cs="Arial"/>
          <w:color w:val="auto"/>
          <w:sz w:val="22"/>
          <w:szCs w:val="22"/>
        </w:rPr>
        <w:t xml:space="preserve">Rutherford Technology </w:t>
      </w:r>
      <w:r w:rsidR="008863D0" w:rsidRPr="00FE661D">
        <w:rPr>
          <w:rFonts w:cs="Arial"/>
          <w:color w:val="auto"/>
          <w:sz w:val="22"/>
          <w:szCs w:val="22"/>
        </w:rPr>
        <w:t>High Schoo</w:t>
      </w:r>
      <w:r>
        <w:rPr>
          <w:rFonts w:cs="Arial"/>
          <w:color w:val="auto"/>
          <w:sz w:val="22"/>
          <w:szCs w:val="22"/>
        </w:rPr>
        <w:t>l.</w:t>
      </w:r>
    </w:p>
    <w:p w:rsidR="008863D0" w:rsidRPr="00FE661D" w:rsidRDefault="008863D0" w:rsidP="00B04102">
      <w:pPr>
        <w:pStyle w:val="BodyCopy"/>
        <w:spacing w:line="240" w:lineRule="auto"/>
        <w:jc w:val="both"/>
        <w:rPr>
          <w:rFonts w:cs="Arial"/>
          <w:color w:val="C0504D" w:themeColor="accent2"/>
          <w:sz w:val="22"/>
          <w:szCs w:val="22"/>
        </w:rPr>
      </w:pPr>
    </w:p>
    <w:p w:rsidR="008863D0" w:rsidRPr="00FE661D" w:rsidRDefault="008863D0" w:rsidP="00B04102">
      <w:pPr>
        <w:spacing w:after="0" w:line="240" w:lineRule="auto"/>
        <w:jc w:val="both"/>
        <w:rPr>
          <w:rFonts w:ascii="Arial" w:eastAsia="Times New Roman" w:hAnsi="Arial" w:cs="Arial"/>
          <w:lang w:eastAsia="en-AU"/>
        </w:rPr>
      </w:pPr>
      <w:r w:rsidRPr="00FE661D">
        <w:rPr>
          <w:rFonts w:ascii="Arial" w:eastAsia="Times New Roman" w:hAnsi="Arial" w:cs="Arial"/>
          <w:lang w:eastAsia="en-AU"/>
        </w:rPr>
        <w:t xml:space="preserve">If you have any questions or comments about the Healthy Schools, Healthy Futures Project you can reach </w:t>
      </w:r>
      <w:r w:rsidR="00530EE7">
        <w:rPr>
          <w:rFonts w:ascii="Arial" w:eastAsia="Times New Roman" w:hAnsi="Arial" w:cs="Arial"/>
          <w:lang w:eastAsia="en-AU"/>
        </w:rPr>
        <w:t>the SPO</w:t>
      </w:r>
      <w:r w:rsidRPr="00FE661D">
        <w:rPr>
          <w:rFonts w:ascii="Arial" w:eastAsia="Times New Roman" w:hAnsi="Arial" w:cs="Arial"/>
          <w:lang w:eastAsia="en-AU"/>
        </w:rPr>
        <w:t xml:space="preserve"> at the following:</w:t>
      </w:r>
    </w:p>
    <w:p w:rsidR="00825491" w:rsidRDefault="00825491" w:rsidP="00825491">
      <w:pPr>
        <w:spacing w:after="0" w:line="240" w:lineRule="auto"/>
        <w:jc w:val="both"/>
        <w:rPr>
          <w:rFonts w:ascii="Arial" w:eastAsia="Times New Roman" w:hAnsi="Arial" w:cs="Arial"/>
          <w:lang w:eastAsia="en-AU"/>
        </w:rPr>
      </w:pPr>
    </w:p>
    <w:p w:rsidR="00FC6608" w:rsidRDefault="008863D0" w:rsidP="00D42563">
      <w:pPr>
        <w:spacing w:after="0" w:line="240" w:lineRule="auto"/>
        <w:jc w:val="both"/>
        <w:rPr>
          <w:rFonts w:ascii="Arial" w:hAnsi="Arial" w:cs="Arial"/>
        </w:rPr>
      </w:pPr>
      <w:r w:rsidRPr="00FE661D">
        <w:rPr>
          <w:rFonts w:ascii="Arial" w:eastAsia="Times New Roman" w:hAnsi="Arial" w:cs="Arial"/>
          <w:lang w:eastAsia="en-AU"/>
        </w:rPr>
        <w:t xml:space="preserve">Email: </w:t>
      </w:r>
      <w:hyperlink r:id="rId6" w:history="1">
        <w:r w:rsidR="00D42563">
          <w:rPr>
            <w:rStyle w:val="Hyperlink"/>
            <w:rFonts w:ascii="Arial" w:eastAsia="Times New Roman" w:hAnsi="Arial" w:cs="Arial"/>
            <w:lang w:eastAsia="en-AU"/>
          </w:rPr>
          <w:t>melanie.asmar</w:t>
        </w:r>
        <w:r w:rsidRPr="00FE661D">
          <w:rPr>
            <w:rStyle w:val="Hyperlink"/>
            <w:rFonts w:ascii="Arial" w:eastAsia="Times New Roman" w:hAnsi="Arial" w:cs="Arial"/>
            <w:lang w:eastAsia="en-AU"/>
          </w:rPr>
          <w:t>@hnehealth.nsw.gov.au</w:t>
        </w:r>
      </w:hyperlink>
      <w:r w:rsidR="00D42563">
        <w:rPr>
          <w:rStyle w:val="Hyperlink"/>
          <w:rFonts w:ascii="Arial" w:eastAsia="Times New Roman" w:hAnsi="Arial" w:cs="Arial"/>
          <w:lang w:eastAsia="en-AU"/>
        </w:rPr>
        <w:t xml:space="preserve">                                            </w:t>
      </w:r>
      <w:r w:rsidRPr="00FE661D">
        <w:rPr>
          <w:rFonts w:ascii="Arial" w:eastAsia="Times New Roman" w:hAnsi="Arial" w:cs="Arial"/>
          <w:lang w:eastAsia="en-AU"/>
        </w:rPr>
        <w:t xml:space="preserve">Mobile: </w:t>
      </w:r>
      <w:r w:rsidR="00D42563" w:rsidRPr="00D42563">
        <w:rPr>
          <w:rFonts w:ascii="Arial" w:eastAsia="Times New Roman" w:hAnsi="Arial" w:cs="Arial"/>
          <w:lang w:eastAsia="en-AU"/>
        </w:rPr>
        <w:t>0417</w:t>
      </w:r>
      <w:r w:rsidR="00D42563">
        <w:rPr>
          <w:rFonts w:ascii="Arial" w:eastAsia="Times New Roman" w:hAnsi="Arial" w:cs="Arial"/>
          <w:lang w:eastAsia="en-AU"/>
        </w:rPr>
        <w:t xml:space="preserve"> </w:t>
      </w:r>
      <w:r w:rsidR="00D42563" w:rsidRPr="00D42563">
        <w:rPr>
          <w:rFonts w:ascii="Arial" w:eastAsia="Times New Roman" w:hAnsi="Arial" w:cs="Arial"/>
          <w:lang w:eastAsia="en-AU"/>
        </w:rPr>
        <w:t>868</w:t>
      </w:r>
      <w:r w:rsidR="00D42563">
        <w:rPr>
          <w:rFonts w:ascii="Arial" w:eastAsia="Times New Roman" w:hAnsi="Arial" w:cs="Arial"/>
          <w:lang w:eastAsia="en-AU"/>
        </w:rPr>
        <w:t xml:space="preserve"> </w:t>
      </w:r>
      <w:r w:rsidR="00D42563" w:rsidRPr="00D42563">
        <w:rPr>
          <w:rFonts w:ascii="Arial" w:eastAsia="Times New Roman" w:hAnsi="Arial" w:cs="Arial"/>
          <w:lang w:eastAsia="en-AU"/>
        </w:rPr>
        <w:t>903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84"/>
        <w:gridCol w:w="2496"/>
        <w:gridCol w:w="2676"/>
        <w:gridCol w:w="1986"/>
      </w:tblGrid>
      <w:tr w:rsidR="004E3D98" w:rsidRPr="00A27F04" w:rsidTr="00741E16">
        <w:trPr>
          <w:jc w:val="center"/>
        </w:trPr>
        <w:tc>
          <w:tcPr>
            <w:tcW w:w="2084" w:type="dxa"/>
            <w:vAlign w:val="center"/>
          </w:tcPr>
          <w:p w:rsidR="004E3D98" w:rsidRPr="00EF5305" w:rsidRDefault="004E3D98" w:rsidP="00825491">
            <w:pPr>
              <w:spacing w:after="0" w:line="240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  <w:noProof/>
                <w:lang w:eastAsia="en-AU"/>
              </w:rPr>
              <w:drawing>
                <wp:inline distT="0" distB="0" distL="0" distR="0" wp14:anchorId="2A9B5C5B" wp14:editId="2532D69E">
                  <wp:extent cx="822960" cy="662940"/>
                  <wp:effectExtent l="0" t="0" r="0" b="3810"/>
                  <wp:docPr id="8" name="Picture 8" descr="O:\Common\Graphics\Logos\HMRI\HMRI-Logo_col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:\Common\Graphics\Logos\HMRI\HMRI-Logo_col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bottom"/>
          </w:tcPr>
          <w:p w:rsidR="004E3D98" w:rsidRPr="00EF5305" w:rsidRDefault="004E3D98" w:rsidP="00825491">
            <w:pPr>
              <w:spacing w:after="0" w:line="240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  <w:noProof/>
                <w:lang w:eastAsia="en-AU"/>
              </w:rPr>
              <w:drawing>
                <wp:inline distT="0" distB="0" distL="0" distR="0" wp14:anchorId="2A6030C9" wp14:editId="473C4A23">
                  <wp:extent cx="1447800" cy="411480"/>
                  <wp:effectExtent l="0" t="0" r="0" b="7620"/>
                  <wp:docPr id="7" name="Picture 7" descr="HNELH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NELH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vAlign w:val="bottom"/>
          </w:tcPr>
          <w:p w:rsidR="004E3D98" w:rsidRPr="00EF5305" w:rsidRDefault="004E3D98" w:rsidP="00825491">
            <w:pPr>
              <w:spacing w:after="0" w:line="240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  <w:noProof/>
                <w:lang w:eastAsia="en-AU"/>
              </w:rPr>
              <w:drawing>
                <wp:inline distT="0" distB="0" distL="0" distR="0" wp14:anchorId="6EF5069D" wp14:editId="490BB670">
                  <wp:extent cx="1562100" cy="396240"/>
                  <wp:effectExtent l="0" t="0" r="0" b="3810"/>
                  <wp:docPr id="6" name="Picture 6" descr="C:\Users\50007891\AppData\Local\Microsoft\Windows\Temporary Internet Files\Content.Outlook\VWRGG3W7\nib_foundation_boxed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50007891\AppData\Local\Microsoft\Windows\Temporary Internet Files\Content.Outlook\VWRGG3W7\nib_foundation_boxed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vAlign w:val="bottom"/>
          </w:tcPr>
          <w:p w:rsidR="004E3D98" w:rsidRPr="00EF5305" w:rsidRDefault="004E3D98" w:rsidP="00825491">
            <w:pPr>
              <w:spacing w:after="0" w:line="240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  <w:noProof/>
                <w:lang w:eastAsia="en-AU"/>
              </w:rPr>
              <w:drawing>
                <wp:inline distT="0" distB="0" distL="0" distR="0" wp14:anchorId="6162B4D6" wp14:editId="22C060E4">
                  <wp:extent cx="665825" cy="665825"/>
                  <wp:effectExtent l="0" t="0" r="127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328" cy="665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3D98" w:rsidRPr="004E3D98" w:rsidRDefault="004E3D98" w:rsidP="0082549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4E3D98" w:rsidRPr="004E3D98" w:rsidSect="00D42563">
      <w:type w:val="continuous"/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480"/>
    <w:multiLevelType w:val="hybridMultilevel"/>
    <w:tmpl w:val="8C86599E"/>
    <w:lvl w:ilvl="0" w:tplc="C06C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033FD"/>
    <w:multiLevelType w:val="hybridMultilevel"/>
    <w:tmpl w:val="660AFA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FF0"/>
    <w:rsid w:val="000F2685"/>
    <w:rsid w:val="002B592A"/>
    <w:rsid w:val="002C2FF0"/>
    <w:rsid w:val="00364AE8"/>
    <w:rsid w:val="004E3D98"/>
    <w:rsid w:val="00530EE7"/>
    <w:rsid w:val="00577F4A"/>
    <w:rsid w:val="00825491"/>
    <w:rsid w:val="008863D0"/>
    <w:rsid w:val="00957CA7"/>
    <w:rsid w:val="0097066D"/>
    <w:rsid w:val="00A23CF0"/>
    <w:rsid w:val="00A50BEA"/>
    <w:rsid w:val="00A632EB"/>
    <w:rsid w:val="00B04102"/>
    <w:rsid w:val="00B12A05"/>
    <w:rsid w:val="00C50F9C"/>
    <w:rsid w:val="00D42563"/>
    <w:rsid w:val="00F47123"/>
    <w:rsid w:val="00FC6608"/>
    <w:rsid w:val="00FE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2FF0"/>
    <w:p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C2FF0"/>
    <w:p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38"/>
      <w:szCs w:val="38"/>
      <w:lang w:eastAsia="en-AU"/>
    </w:rPr>
  </w:style>
  <w:style w:type="paragraph" w:styleId="Heading5">
    <w:name w:val="heading 5"/>
    <w:basedOn w:val="Normal"/>
    <w:link w:val="Heading5Char"/>
    <w:uiPriority w:val="9"/>
    <w:qFormat/>
    <w:rsid w:val="002C2F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FF0"/>
    <w:rPr>
      <w:rFonts w:ascii="Times New Roman" w:eastAsia="Times New Roman" w:hAnsi="Times New Roman" w:cs="Times New Roman"/>
      <w:b/>
      <w:bCs/>
      <w:kern w:val="36"/>
      <w:sz w:val="43"/>
      <w:szCs w:val="43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C2FF0"/>
    <w:rPr>
      <w:rFonts w:ascii="Times New Roman" w:eastAsia="Times New Roman" w:hAnsi="Times New Roman" w:cs="Times New Roman"/>
      <w:b/>
      <w:bCs/>
      <w:sz w:val="38"/>
      <w:szCs w:val="3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2C2FF0"/>
    <w:rPr>
      <w:rFonts w:ascii="Times New Roman" w:eastAsia="Times New Roman" w:hAnsi="Times New Roman" w:cs="Times New Roman"/>
      <w:b/>
      <w:bCs/>
      <w:sz w:val="26"/>
      <w:szCs w:val="26"/>
      <w:lang w:eastAsia="en-AU"/>
    </w:rPr>
  </w:style>
  <w:style w:type="character" w:styleId="Hyperlink">
    <w:name w:val="Hyperlink"/>
    <w:basedOn w:val="DefaultParagraphFont"/>
    <w:uiPriority w:val="99"/>
    <w:unhideWhenUsed/>
    <w:rsid w:val="002C2FF0"/>
    <w:rPr>
      <w:strike w:val="0"/>
      <w:dstrike w:val="0"/>
      <w:color w:val="001D4E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C2FF0"/>
    <w:rPr>
      <w:b/>
      <w:bCs/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2C2FF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dyCopy">
    <w:name w:val="Body Copy"/>
    <w:basedOn w:val="Normal"/>
    <w:rsid w:val="002B592A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Times New Roman" w:hAnsi="Arial" w:cs="Times New Roman"/>
      <w:color w:val="717074"/>
      <w:sz w:val="20"/>
      <w:szCs w:val="20"/>
      <w:lang w:val="en-US"/>
    </w:rPr>
  </w:style>
  <w:style w:type="paragraph" w:customStyle="1" w:styleId="Subhead">
    <w:name w:val="Subhead"/>
    <w:basedOn w:val="Normal"/>
    <w:rsid w:val="00FC6608"/>
    <w:pPr>
      <w:spacing w:before="240" w:after="120" w:line="240" w:lineRule="atLeast"/>
    </w:pPr>
    <w:rPr>
      <w:rFonts w:ascii="Arial" w:eastAsia="Times New Roman" w:hAnsi="Arial" w:cs="Times New Roman"/>
      <w:b/>
      <w:sz w:val="28"/>
      <w:szCs w:val="26"/>
      <w:lang w:val="en-US"/>
    </w:rPr>
  </w:style>
  <w:style w:type="table" w:styleId="TableGrid">
    <w:name w:val="Table Grid"/>
    <w:basedOn w:val="TableNormal"/>
    <w:uiPriority w:val="59"/>
    <w:rsid w:val="00FC6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364AE8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2FF0"/>
    <w:p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C2FF0"/>
    <w:p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38"/>
      <w:szCs w:val="38"/>
      <w:lang w:eastAsia="en-AU"/>
    </w:rPr>
  </w:style>
  <w:style w:type="paragraph" w:styleId="Heading5">
    <w:name w:val="heading 5"/>
    <w:basedOn w:val="Normal"/>
    <w:link w:val="Heading5Char"/>
    <w:uiPriority w:val="9"/>
    <w:qFormat/>
    <w:rsid w:val="002C2F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FF0"/>
    <w:rPr>
      <w:rFonts w:ascii="Times New Roman" w:eastAsia="Times New Roman" w:hAnsi="Times New Roman" w:cs="Times New Roman"/>
      <w:b/>
      <w:bCs/>
      <w:kern w:val="36"/>
      <w:sz w:val="43"/>
      <w:szCs w:val="43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C2FF0"/>
    <w:rPr>
      <w:rFonts w:ascii="Times New Roman" w:eastAsia="Times New Roman" w:hAnsi="Times New Roman" w:cs="Times New Roman"/>
      <w:b/>
      <w:bCs/>
      <w:sz w:val="38"/>
      <w:szCs w:val="3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2C2FF0"/>
    <w:rPr>
      <w:rFonts w:ascii="Times New Roman" w:eastAsia="Times New Roman" w:hAnsi="Times New Roman" w:cs="Times New Roman"/>
      <w:b/>
      <w:bCs/>
      <w:sz w:val="26"/>
      <w:szCs w:val="26"/>
      <w:lang w:eastAsia="en-AU"/>
    </w:rPr>
  </w:style>
  <w:style w:type="character" w:styleId="Hyperlink">
    <w:name w:val="Hyperlink"/>
    <w:basedOn w:val="DefaultParagraphFont"/>
    <w:uiPriority w:val="99"/>
    <w:unhideWhenUsed/>
    <w:rsid w:val="002C2FF0"/>
    <w:rPr>
      <w:strike w:val="0"/>
      <w:dstrike w:val="0"/>
      <w:color w:val="001D4E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C2FF0"/>
    <w:rPr>
      <w:b/>
      <w:bCs/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2C2FF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dyCopy">
    <w:name w:val="Body Copy"/>
    <w:basedOn w:val="Normal"/>
    <w:rsid w:val="002B592A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Times New Roman" w:hAnsi="Arial" w:cs="Times New Roman"/>
      <w:color w:val="717074"/>
      <w:sz w:val="20"/>
      <w:szCs w:val="20"/>
      <w:lang w:val="en-US"/>
    </w:rPr>
  </w:style>
  <w:style w:type="paragraph" w:customStyle="1" w:styleId="Subhead">
    <w:name w:val="Subhead"/>
    <w:basedOn w:val="Normal"/>
    <w:rsid w:val="00FC6608"/>
    <w:pPr>
      <w:spacing w:before="240" w:after="120" w:line="240" w:lineRule="atLeast"/>
    </w:pPr>
    <w:rPr>
      <w:rFonts w:ascii="Arial" w:eastAsia="Times New Roman" w:hAnsi="Arial" w:cs="Times New Roman"/>
      <w:b/>
      <w:sz w:val="28"/>
      <w:szCs w:val="26"/>
      <w:lang w:val="en-US"/>
    </w:rPr>
  </w:style>
  <w:style w:type="table" w:styleId="TableGrid">
    <w:name w:val="Table Grid"/>
    <w:basedOn w:val="TableNormal"/>
    <w:uiPriority w:val="59"/>
    <w:rsid w:val="00FC6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364AE8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96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99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2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962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62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7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06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34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347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%20name@hnehealth.nsw.gov.a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HNEAHS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Fitzgibbon, Lexi</cp:lastModifiedBy>
  <cp:revision>2</cp:revision>
  <dcterms:created xsi:type="dcterms:W3CDTF">2013-10-14T00:30:00Z</dcterms:created>
  <dcterms:modified xsi:type="dcterms:W3CDTF">2013-10-14T00:30:00Z</dcterms:modified>
</cp:coreProperties>
</file>